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127"/>
        <w:gridCol w:w="283"/>
        <w:gridCol w:w="3119"/>
        <w:gridCol w:w="992"/>
        <w:gridCol w:w="1945"/>
        <w:gridCol w:w="1032"/>
        <w:gridCol w:w="248"/>
      </w:tblGrid>
      <w:tr w:rsidR="002B3CB5" w:rsidRPr="002B3CB5" w:rsidTr="002B3CB5">
        <w:trPr>
          <w:trHeight w:val="255"/>
        </w:trPr>
        <w:tc>
          <w:tcPr>
            <w:tcW w:w="1134" w:type="dxa"/>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Level</w:t>
            </w:r>
          </w:p>
        </w:tc>
        <w:tc>
          <w:tcPr>
            <w:tcW w:w="2127" w:type="dxa"/>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3119" w:type="dxa"/>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Kabupaten Poso</w:t>
            </w:r>
          </w:p>
        </w:tc>
        <w:tc>
          <w:tcPr>
            <w:tcW w:w="992" w:type="dxa"/>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1945" w:type="dxa"/>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1032" w:type="dxa"/>
            <w:shd w:val="clear" w:color="auto" w:fill="auto"/>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3261" w:type="dxa"/>
            <w:gridSpan w:val="2"/>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Komponen</w:t>
            </w:r>
          </w:p>
        </w:tc>
        <w:tc>
          <w:tcPr>
            <w:tcW w:w="283" w:type="dxa"/>
            <w:shd w:val="clear" w:color="auto" w:fill="auto"/>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4111" w:type="dxa"/>
            <w:gridSpan w:val="2"/>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Implementasi Kinerja</w:t>
            </w:r>
          </w:p>
        </w:tc>
        <w:tc>
          <w:tcPr>
            <w:tcW w:w="1945" w:type="dxa"/>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1032" w:type="dxa"/>
            <w:shd w:val="clear" w:color="auto" w:fill="auto"/>
            <w:vAlign w:val="bottom"/>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1134"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2127"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3119"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992"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945"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032" w:type="dxa"/>
            <w:shd w:val="clear" w:color="auto" w:fill="auto"/>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248" w:type="dxa"/>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3544" w:type="dxa"/>
            <w:gridSpan w:val="3"/>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Isu dalam PGA REDD+</w:t>
            </w:r>
          </w:p>
        </w:tc>
        <w:tc>
          <w:tcPr>
            <w:tcW w:w="7088" w:type="dxa"/>
            <w:gridSpan w:val="4"/>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3261" w:type="dxa"/>
            <w:gridSpan w:val="2"/>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283" w:type="dxa"/>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336" w:type="dxa"/>
            <w:gridSpan w:val="5"/>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a. Tingkat penerimaan (legitimasi) atas dokumen RTRWP/RTRWK/Kehutanan</w:t>
            </w:r>
          </w:p>
        </w:tc>
      </w:tr>
      <w:tr w:rsidR="002B3CB5" w:rsidRPr="002B3CB5" w:rsidTr="002B3CB5">
        <w:trPr>
          <w:trHeight w:val="345"/>
        </w:trPr>
        <w:tc>
          <w:tcPr>
            <w:tcW w:w="3261" w:type="dxa"/>
            <w:gridSpan w:val="2"/>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353"/>
        <w:gridCol w:w="1791"/>
        <w:gridCol w:w="1176"/>
        <w:gridCol w:w="1634"/>
        <w:gridCol w:w="1275"/>
        <w:gridCol w:w="1560"/>
        <w:gridCol w:w="1382"/>
      </w:tblGrid>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FIa1</w:t>
            </w:r>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Bagaimana (tingkat) penerimaan (legitimasi) </w:t>
            </w:r>
            <w:r w:rsidRPr="002B3CB5">
              <w:rPr>
                <w:rFonts w:ascii="Times New Roman" w:eastAsia="Times New Roman" w:hAnsi="Times New Roman" w:cs="Times New Roman"/>
                <w:i/>
                <w:iCs/>
                <w:color w:val="000000"/>
                <w:sz w:val="20"/>
                <w:szCs w:val="20"/>
                <w:lang w:eastAsia="id-ID"/>
              </w:rPr>
              <w:t xml:space="preserve">stakeholder </w:t>
            </w:r>
            <w:r w:rsidRPr="002B3CB5">
              <w:rPr>
                <w:rFonts w:ascii="Times New Roman" w:eastAsia="Times New Roman" w:hAnsi="Times New Roman" w:cs="Times New Roman"/>
                <w:color w:val="000000"/>
                <w:sz w:val="20"/>
                <w:szCs w:val="20"/>
                <w:lang w:eastAsia="id-ID"/>
              </w:rPr>
              <w:t>atas dokumen RTRWP/RTRWK/Kehutanan?</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RTRW belum diputuskan oleh DPRD Kab. Poso</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Permasalahan data dari instansi lain menjadi permasalahan, dimana untuk beberapa rencana tata ruang yang akan diambil pihak instansi yang tupoksinya memberikan data dukungan untuk upaya memenuhi kebijakan tata ruang kehutanan tidak bisa melengkapnya sehingga jadi terabaikan.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306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PU</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RTRW belum diputuskan oleh DPRD Kab. Poso</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Penerimaan masyarakat itu saya tidak bisa katakan secara khusus kehutanan karen hal itu mungkin urusan kehutanan tetapi bahwa RTRW ini diberikan apresisasi yang luar biasa dari pemerintaha provinsi kenapa? Biasanya kegiatan sosialisasiRTRW itu dalam melaksanakan FGD hanya 2-3 kali saja, di Poso itu sampai 5 Kali, ini dalam upaya agar materinya bisa dipahami </w:t>
            </w:r>
            <w:r w:rsidRPr="002B3CB5">
              <w:rPr>
                <w:rFonts w:ascii="Times New Roman" w:eastAsia="Times New Roman" w:hAnsi="Times New Roman" w:cs="Times New Roman"/>
                <w:color w:val="000000"/>
                <w:sz w:val="20"/>
                <w:szCs w:val="20"/>
                <w:lang w:eastAsia="id-ID"/>
              </w:rPr>
              <w:lastRenderedPageBreak/>
              <w:t>oleh masyarakat.</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lastRenderedPageBreak/>
              <w:t>4</w:t>
            </w:r>
          </w:p>
        </w:tc>
      </w:tr>
      <w:tr w:rsidR="002B3CB5" w:rsidRPr="002B3CB5" w:rsidTr="002B3CB5">
        <w:trPr>
          <w:trHeight w:val="178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RTRW belum diputuskan oleh DPRD Kab. Poso</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Yang tahu tentang perencanaan itu hanya pemerintah saja. Mestinya dilemparkan kepada masyarakat dan melibatkan representasi masyarakat secara luas supaya semua tahu Secara legitimasi jika sepert ini maka pasti kurang sekali yang dukung</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sosialisasi hanya penerapan saja.Sosialisasi itu klo ada hanya lewat panitia pemekaran saja</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178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Asosiasi Pengusaha</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Tata ruang mestinya juga  memperhatikan pebisnis, kehutanan juga dapat tetap mendorong pengusaha untuk menjaga Lingkungan. Belum tau isu RTRW POSO. Umumnya akan mendorrong jika sifatnya kebijkan.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255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Umunya penyusun tata ruang itu mengambil akademisi Unsimar sebagai tenaga ahli sehingga bisa dikatakan sebagaian besar konsep itu dari sini.. Keterlibatan masyarakat itu yang dilihat hanya di Musrebang saja adapaun tindak lanjut hanya terkait dengan instansi terkait saja termasuk LSM yang memebrikan masukan.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2B3CB5" w:rsidRPr="002B3CB5" w:rsidTr="002B3CB5">
        <w:trPr>
          <w:trHeight w:val="9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FIb1</w:t>
            </w:r>
          </w:p>
        </w:tc>
        <w:tc>
          <w:tcPr>
            <w:tcW w:w="1353" w:type="dxa"/>
            <w:vMerge w:val="restart"/>
            <w:tcBorders>
              <w:top w:val="nil"/>
              <w:left w:val="single" w:sz="4" w:space="0" w:color="auto"/>
              <w:bottom w:val="single" w:sz="4" w:space="0" w:color="000000"/>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Jumlah luas kawasan hutan yang dikukuhkan dan dite-rima oleh para pihak</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tidak ada </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Untuk pelepasan kawasan hutan untuk dikukuhkan itu rencananya 30% meskipun sekarang belum ada tetapi hal ini menjadi tantangan tersendiri bag kehutanan ke masa depan.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tidak ada  meskipun beberapa komunitas </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 poso belum ada itu kawasan yang dilepaskan untuk masyarakat meskipun 3 bulan lalu muncul di media</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76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tidak ada </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bagaimana mempersiapkan program itu saja. Yang </w:t>
            </w:r>
            <w:r w:rsidRPr="002B3CB5">
              <w:rPr>
                <w:rFonts w:ascii="Times New Roman" w:eastAsia="Times New Roman" w:hAnsi="Times New Roman" w:cs="Times New Roman"/>
                <w:color w:val="000000"/>
                <w:sz w:val="20"/>
                <w:szCs w:val="20"/>
                <w:lang w:eastAsia="id-ID"/>
              </w:rPr>
              <w:lastRenderedPageBreak/>
              <w:t>paling dibutuhkan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lastRenderedPageBreak/>
              <w:t>3</w:t>
            </w:r>
          </w:p>
        </w:tc>
      </w:tr>
      <w:tr w:rsidR="002B3CB5" w:rsidRPr="002B3CB5" w:rsidTr="002B3CB5">
        <w:trPr>
          <w:trHeight w:val="255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tidak ada </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Informasi tentang kawasan hutan yang dilepas dan dikukuhkan itu terbatas sekali informasinya disini bahkan tidak ada yang diketahui oleh masyarakat kecuali yang beberapa waktu lalu sempat ribut terkait kasus dongi-dongi yang mana masyarakat menginginkan keterlibatan dalam pengelolaan kawasan tersebut.</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42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2B3CB5" w:rsidRPr="002B3CB5" w:rsidTr="002B3CB5">
        <w:trPr>
          <w:trHeight w:val="84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382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FIc1</w:t>
            </w:r>
          </w:p>
        </w:tc>
        <w:tc>
          <w:tcPr>
            <w:tcW w:w="1353" w:type="dxa"/>
            <w:vMerge w:val="restart"/>
            <w:tcBorders>
              <w:top w:val="nil"/>
              <w:left w:val="single" w:sz="4" w:space="0" w:color="auto"/>
              <w:bottom w:val="single" w:sz="4" w:space="0" w:color="000000"/>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dalam Bab 5 tentang Laporan Antara RTRW menjelaskan posisi setiap wilayah di Poso</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Tidak semua tata ruang yang akan dikelola masyarakat itu terpenuhi dalam tata ruang kabupaten, hal ini dikarenakan obyektifitas dari permintaan itu yang dianggap terlalu berlebihan. Kasus komunitas masyarakat Sedoa diperbatasan Poso dan kab. Sigi misalkan luas tata ruang yang melampau jauh dari rasionalitas jumah komunitasnya . Dasar pengajuan itu selalu berdasarkan hal-hal yang tidak berdasarkan pada kapasitas dan komptensi yang dimiliki melainkan sejarah nenek moyang mereka </w:t>
            </w:r>
          </w:p>
        </w:tc>
        <w:tc>
          <w:tcPr>
            <w:tcW w:w="1382" w:type="dxa"/>
            <w:tcBorders>
              <w:top w:val="nil"/>
              <w:left w:val="nil"/>
              <w:bottom w:val="single" w:sz="4" w:space="0" w:color="auto"/>
              <w:right w:val="single" w:sz="4" w:space="0" w:color="auto"/>
            </w:tcBorders>
            <w:shd w:val="clear" w:color="000000" w:fill="FFFFFF"/>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153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Selama ini kelihatannya baik tetapi bahwa akomodasi ruang adat dalam tata ruang itu masih terbatas meskipund alam skop lokal ada nilai-niali adat yang menjaga sistem hutan itu, sehingga harusnya lebih terbuka</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153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Karena megikut pejabat pemerintah yang dikendalikan negara jadi apa saja yang diinginkan pejabat itu saja yang jadi meskipun masyarakat menghendaki lain tetapi yang jadi selalu keinginan pemerintah</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382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Tidak semua tata ruang yang akan dikelola masyarakat itu terpenuhi dalam tata ruang kabupaten, hal ini dikarenakan obyektifitas dari permintaan itu yang dianggap terlalu berlebihan. Kasus komunitas masyarakat Sedoa diperbatasan Poso dan kab. Sigi misalkan luas tata ruang yang melampau jauh dari rasionalitas jumah komunitasnya . Dasar pengajuan itu selalu berdasarkan hal-hal yang tidak berdasarkan pada kapasitas dan komptensi yang dimiliki melainkan sejarah nenek moyang mereka </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2B3CB5" w:rsidRPr="002B3CB5" w:rsidTr="002B3CB5">
        <w:trPr>
          <w:trHeight w:val="97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785"/>
        </w:trPr>
        <w:tc>
          <w:tcPr>
            <w:tcW w:w="714"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FFFF00"/>
                <w:sz w:val="20"/>
                <w:szCs w:val="20"/>
                <w:lang w:eastAsia="id-ID"/>
              </w:rPr>
            </w:pPr>
            <w:r w:rsidRPr="002B3CB5">
              <w:rPr>
                <w:rFonts w:ascii="Times New Roman" w:eastAsia="Times New Roman" w:hAnsi="Times New Roman" w:cs="Times New Roman"/>
                <w:color w:val="FFFF00"/>
                <w:sz w:val="20"/>
                <w:szCs w:val="20"/>
                <w:lang w:eastAsia="id-ID"/>
              </w:rPr>
              <w:t> </w:t>
            </w:r>
          </w:p>
        </w:tc>
        <w:tc>
          <w:tcPr>
            <w:tcW w:w="1353" w:type="dxa"/>
            <w:vMerge w:val="restart"/>
            <w:tcBorders>
              <w:top w:val="nil"/>
              <w:left w:val="single" w:sz="4" w:space="0" w:color="auto"/>
              <w:bottom w:val="single" w:sz="4" w:space="0" w:color="000000"/>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Selama ini semua konflik penguasaan kawasan dapat diselesaiakan secara baik hal ini karena pada beberapa wilayah di poso terdapat mekanisme adat yang mereka gunakan dalam meknaisme penyeleaian konflik secara internal</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127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FFFF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Semua konflik selama ini dapat ditangani karena hanya terkait tapal batas desa, atau masyarakat dengan perusahaan terutama yang ada diwilayah pamona timur </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FFFF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Diselesaikan secara kekeluargaan. Dan jika masih ada keberatan maka belum diputuskan, setelah semua sepaham baru diputuskan.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306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FFFF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Selama ini cukup baik tetapi hanya meredam sementara waktu saja, suatu ketika mungkin itu akan kembali kepermukaan jika tidak ada upaya yang dilakukan secara komprehensiv dalam penanganannya. Selama ini rasa-rasanya semua difasilitasi meskipun hasilnya relatif beragam tetapi Poso sebagai kabupaten yang terbiasa didera konflik sudah terbiasa dalam penanganan hal-hal seperti ini</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FId1</w:t>
            </w:r>
          </w:p>
        </w:tc>
        <w:tc>
          <w:tcPr>
            <w:tcW w:w="1353" w:type="dxa"/>
            <w:vMerge w:val="restart"/>
            <w:tcBorders>
              <w:top w:val="nil"/>
              <w:left w:val="single" w:sz="4" w:space="0" w:color="auto"/>
              <w:bottom w:val="single" w:sz="4" w:space="0" w:color="000000"/>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Hasil mediasi bisa diterima oleh semua pihak dan dijalankan secara konsisten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Semua pihak dalam penyelesaian konflik yang dimediasi baik oleh kehutanan maupun oleh masyarakat adat serta pemerintah desa itu dapat diterima oleh masyarakat dan dijalankan secara konsisten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204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Biasanya terkndala dengan tuntutanseperti perusahaan suadah ada ijin tetapi masyarakat masih menuntut sementara pihak kepolisisan cenderung ke investor dan jika terkait pemda cenderung akan dimenangkan jika berhadapan dengan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127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Keputusan itu diterima krn ini keputusan adat, sebenarnya mereka itu bisa saja k pngadilan tetapi karena prosesnya lama maka umumny menerima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357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Secara permukaan memang itudapat dierima tetapikan ada yang disebut kekecewaan sehingga ini bisa terangkat kembali utamanya kasus yang memperhadapkan masyarakat dan pemerintah hal ini beda jika itu yang berhadapan adalah masyarakat dengan masyarakat karena disini masyarakat adat masih hidup meskipun juga terkadang tidak aktif tetapi masih cukup didengar masyarakat sehingga keputusannya diterima semua pihak yang berkonflik.</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Isu dalam PGA REDD+</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2810"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II. Pengaturan Hak  </w:t>
            </w:r>
          </w:p>
        </w:tc>
        <w:tc>
          <w:tcPr>
            <w:tcW w:w="1275"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p>
        </w:tc>
      </w:tr>
      <w:tr w:rsidR="002B3CB5" w:rsidRPr="002B3CB5" w:rsidTr="002B3CB5">
        <w:trPr>
          <w:trHeight w:val="6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2B3CB5">
              <w:rPr>
                <w:rFonts w:ascii="Times New Roman" w:eastAsia="Times New Roman" w:hAnsi="Times New Roman" w:cs="Times New Roman"/>
                <w:b/>
                <w:bCs/>
                <w:color w:val="000000"/>
                <w:sz w:val="20"/>
                <w:szCs w:val="20"/>
                <w:lang w:eastAsia="id-ID"/>
              </w:rPr>
              <w:br/>
              <w:t xml:space="preserve">   masyarakat dan bisnis di Kementerian/SKPD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 Kementerian/Dinas Kehutanan (Unit Pemberi Izin)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FIIa1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91" w:type="dxa"/>
            <w:tcBorders>
              <w:top w:val="nil"/>
              <w:left w:val="nil"/>
              <w:bottom w:val="single" w:sz="4" w:space="0" w:color="auto"/>
              <w:right w:val="single" w:sz="4" w:space="0" w:color="auto"/>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wawancara</w:t>
            </w:r>
          </w:p>
        </w:tc>
        <w:tc>
          <w:tcPr>
            <w:tcW w:w="1634"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6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2B3CB5">
              <w:rPr>
                <w:rFonts w:ascii="Times New Roman" w:eastAsia="Times New Roman" w:hAnsi="Times New Roman" w:cs="Times New Roman"/>
                <w:b/>
                <w:bCs/>
                <w:color w:val="000000"/>
                <w:sz w:val="20"/>
                <w:szCs w:val="20"/>
                <w:lang w:eastAsia="id-ID"/>
              </w:rPr>
              <w:br/>
              <w:t xml:space="preserve">   masyarakat dan bisnis di Kementerian/SKPD </w:t>
            </w:r>
            <w:r w:rsidRPr="002B3CB5">
              <w:rPr>
                <w:rFonts w:ascii="Times New Roman" w:eastAsia="Times New Roman" w:hAnsi="Times New Roman" w:cs="Times New Roman"/>
                <w:b/>
                <w:bCs/>
                <w:color w:val="000000"/>
                <w:sz w:val="20"/>
                <w:szCs w:val="20"/>
                <w:lang w:eastAsia="id-ID"/>
              </w:rPr>
              <w:br/>
              <w:t xml:space="preserve"> </w:t>
            </w:r>
          </w:p>
        </w:tc>
      </w:tr>
      <w:tr w:rsidR="002B3CB5" w:rsidRPr="002B3CB5" w:rsidTr="002B3CB5">
        <w:trPr>
          <w:trHeight w:val="6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2B3CB5">
              <w:rPr>
                <w:rFonts w:ascii="Times New Roman" w:eastAsia="Times New Roman" w:hAnsi="Times New Roman" w:cs="Times New Roman"/>
                <w:b/>
                <w:bCs/>
                <w:color w:val="000000"/>
                <w:sz w:val="20"/>
                <w:szCs w:val="20"/>
                <w:lang w:eastAsia="id-ID"/>
              </w:rPr>
              <w:br/>
              <w:t xml:space="preserve">  Kementerian/Dinas Kehutanan (Unit Pemberi Izin)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FIIb1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1" w:type="dxa"/>
            <w:tcBorders>
              <w:top w:val="nil"/>
              <w:left w:val="nil"/>
              <w:bottom w:val="single" w:sz="4" w:space="0" w:color="auto"/>
              <w:right w:val="single" w:sz="4" w:space="0" w:color="auto"/>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Khutanan</w:t>
            </w:r>
          </w:p>
        </w:tc>
        <w:tc>
          <w:tcPr>
            <w:tcW w:w="1634"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 karena pihak kehutanan menganggap sebagai data terbatas</w:t>
            </w:r>
          </w:p>
        </w:tc>
        <w:tc>
          <w:tcPr>
            <w:tcW w:w="1275"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4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c. Jumlah konflik antar sesama penggunaan kawasan hutan </w:t>
            </w:r>
            <w:r w:rsidRPr="002B3CB5">
              <w:rPr>
                <w:rFonts w:ascii="Times New Roman" w:eastAsia="Times New Roman" w:hAnsi="Times New Roman" w:cs="Times New Roman"/>
                <w:b/>
                <w:bCs/>
                <w:color w:val="000000"/>
                <w:sz w:val="20"/>
                <w:szCs w:val="20"/>
                <w:lang w:eastAsia="id-ID"/>
              </w:rPr>
              <w:br/>
              <w:t xml:space="preserve"> </w:t>
            </w:r>
          </w:p>
        </w:tc>
      </w:tr>
      <w:tr w:rsidR="002B3CB5" w:rsidRPr="002B3CB5" w:rsidTr="002B3CB5">
        <w:trPr>
          <w:trHeight w:val="36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FIIc1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Jumlah konflik antar sesama penggunaan kawasan hutan </w:t>
            </w:r>
          </w:p>
        </w:tc>
        <w:tc>
          <w:tcPr>
            <w:tcW w:w="1791" w:type="dxa"/>
            <w:tcBorders>
              <w:top w:val="nil"/>
              <w:left w:val="nil"/>
              <w:bottom w:val="single" w:sz="4" w:space="0" w:color="auto"/>
              <w:right w:val="single" w:sz="4" w:space="0" w:color="auto"/>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 tetapi ada kasus perseteruan antara masyarakat di dongi-dongi</w:t>
            </w:r>
          </w:p>
        </w:tc>
        <w:tc>
          <w:tcPr>
            <w:tcW w:w="1275" w:type="dxa"/>
            <w:tcBorders>
              <w:top w:val="nil"/>
              <w:left w:val="nil"/>
              <w:bottom w:val="single" w:sz="4" w:space="0" w:color="auto"/>
              <w:right w:val="single" w:sz="4" w:space="0" w:color="auto"/>
            </w:tcBorders>
            <w:shd w:val="clear" w:color="000000" w:fill="FFFFFF"/>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 Pemerintah (Pusat &amp; Daerah), LSM, AMAN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4590"/>
        </w:trPr>
        <w:tc>
          <w:tcPr>
            <w:tcW w:w="714" w:type="dxa"/>
            <w:vMerge w:val="restart"/>
            <w:tcBorders>
              <w:top w:val="nil"/>
              <w:left w:val="single" w:sz="4" w:space="0" w:color="auto"/>
              <w:bottom w:val="single" w:sz="4" w:space="0" w:color="auto"/>
              <w:right w:val="single" w:sz="4" w:space="0" w:color="auto"/>
            </w:tcBorders>
            <w:shd w:val="clear" w:color="000000" w:fill="FFFF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lastRenderedPageBreak/>
              <w:t> </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Jumlah praktik terbaik (</w:t>
            </w:r>
            <w:r w:rsidRPr="002B3CB5">
              <w:rPr>
                <w:rFonts w:ascii="Times New Roman" w:eastAsia="Times New Roman" w:hAnsi="Times New Roman" w:cs="Times New Roman"/>
                <w:i/>
                <w:iCs/>
                <w:color w:val="000000"/>
                <w:sz w:val="20"/>
                <w:szCs w:val="20"/>
                <w:lang w:eastAsia="id-ID"/>
              </w:rPr>
              <w:t>best practices</w:t>
            </w:r>
            <w:r w:rsidRPr="002B3CB5">
              <w:rPr>
                <w:rFonts w:ascii="Times New Roman" w:eastAsia="Times New Roman" w:hAnsi="Times New Roman" w:cs="Times New Roman"/>
                <w:color w:val="000000"/>
                <w:sz w:val="20"/>
                <w:szCs w:val="20"/>
                <w:lang w:eastAsia="id-ID"/>
              </w:rPr>
              <w:t>) atas resolusi konflik terkait pengakuan hak masyarakat adat/lokal</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 poso, masyarakat adat sangat merupakan bagian dari resolusi konflik karena mereka memiliki nilai yang sudah terjaga lama sehingga menjadi nilai budaya lokal yang ada pada prilaku mereka termasuk dalam memperlakukan lingkungan. Keterlibatan pemangku adat menjadi bagian dari proses menjaga hutan dan jika ada hal-hal yang terkait hukum barulah mereka menghubungi aparat untuk dapat difasilitasi. Dukungan adanya kab. Konservasi melalui peraturan daerah, awalnya itu berasal dari masayarakat adat Tampo lore yang melihat masa depan dari kebutuhan menjaga lingkungan</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127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Hingga kini belum ada yang dapat dijadikan sebagai best practice karena masih sementara dalam tahapan yang tidak jelas seperti untuk komunitas dongi-dongi</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153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Dipamona masyarakat yang bersengketa itu dipertemukan, agar ada kesepahaman.Mekanismenya lewat .</w:t>
            </w:r>
            <w:r w:rsidRPr="002B3CB5">
              <w:rPr>
                <w:rFonts w:ascii="Times New Roman" w:eastAsia="Times New Roman" w:hAnsi="Times New Roman" w:cs="Times New Roman"/>
                <w:i/>
                <w:iCs/>
                <w:color w:val="000000"/>
                <w:sz w:val="20"/>
                <w:szCs w:val="20"/>
                <w:lang w:eastAsia="id-ID"/>
              </w:rPr>
              <w:t>Mogombo</w:t>
            </w:r>
            <w:r w:rsidRPr="002B3CB5">
              <w:rPr>
                <w:rFonts w:ascii="Times New Roman" w:eastAsia="Times New Roman" w:hAnsi="Times New Roman" w:cs="Times New Roman"/>
                <w:color w:val="000000"/>
                <w:sz w:val="20"/>
                <w:szCs w:val="20"/>
                <w:lang w:eastAsia="id-ID"/>
              </w:rPr>
              <w:t xml:space="preserve"> atau musyawarah ini dimaksudkan untuk memperkuat atau </w:t>
            </w:r>
            <w:r w:rsidRPr="002B3CB5">
              <w:rPr>
                <w:rFonts w:ascii="Times New Roman" w:eastAsia="Times New Roman" w:hAnsi="Times New Roman" w:cs="Times New Roman"/>
                <w:i/>
                <w:iCs/>
                <w:color w:val="000000"/>
                <w:sz w:val="20"/>
                <w:szCs w:val="20"/>
                <w:lang w:eastAsia="id-ID"/>
              </w:rPr>
              <w:t>mampakaroso</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FIId1</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Pencegahan kekerasan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semua permasalahan diselesaiakan secara internal seperti kasus dongi-dongi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Resolusi konflik yang ada selama ini adalah hukum bagi masyarakat Poso karena jika ada yang melanggar hal tersebut akan mendapatkan denda dari adat sehingga cukup efektif</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153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terjadi represi terhadap masyarakat seperti di dongi-dongi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 lore utara itu meskipun ada masalah mereka tunduk kepada ketua adat misalkan saat pengungsi dibawa ke lore tetapi ditekankan untuk tidak membangun sembarangan</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76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aparat selalu berpihak kepada pengusaha dan kebijakan pemerintah</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lagi orang yang menolak jika sudah diputuskan adat</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FIId2</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Penyelesaian konflik</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selalu dilakukan pendekatan persuasif</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Manusia dalam berbagai kebutuhan tidak pernah puas sehingga terkadang jika ada kesempatan mereka akan melakukan hal yang sama nah itu terkadang terjadi, kalau bukan dari pelaku pertama dari orang lain yang sebenarnya tahu peristiwa awal yang pernah terjadi.</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280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yang bisa diselesaiakan selama ini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Jika dilore itu berhasil sebagai resolusi konflik beda dengan di Pamona,terjadi konflik meskipun sesama kristen setalah 2-3 tahun konflik berlalu, maka yang kemudian timbul konflik adalah antara pendatang dan penduduk lokal.  Ini diakibatkan karena adanya pilih kasih dalam menerapkan pemberian bantuan yang lebih ditekankan kepada pengungsi</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untuk mekanisme adat menyelesaiakn masalah untuk kebijakan selalu berlarut-larut dan tidak menjamin resolusi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Semuanya sudah mengikat disitu</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FIId3</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Penerimaan para pihak</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Resolusi konflik dimasyarakat itukan kearifan lokal yang semua orang disitu tahu sebenarnya sehingga manjdi ikatan yang mereka pegang teguh jika tidak mau diabaikan oleh masyarakat.</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Semua mekanisme jika diselesaiakan melalui mekanisme adat relatif lebih mengikat dalam batas budaya mereka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Semua komitmen, seperti kasus tanah atau ganti pohon kelapa semua sampai sekarang tdk ada masalah lagi</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510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FIId4</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Komitmen tetap dijalankan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jaminan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Di lore tengah salah satu kec. Di poso ini, ada yang diberi nama Robu behoa yang mana memiliki aturan-aturan adat untuk adanya resolusi konflik dalam masyarakat maupun antar wilayah. Seorang dari desa lain tidak boleh menjamah dan mencari hasil hutan dari desa lain kecuali mendapatkan izin dari pemerintah desa tersebut. Jika melangar maka akan disangsi secara adat. Begitupun dengan aturan lain seperti kewajiban setiap orang untuk harus mengolah sawah 3-4 bulan dimana dalam masa itu tidak dierkenankan mengambil hasil hutan setelahnya baru dapat mencari nafkah dari hutan. Ini semua kearifan lokal yang dimilki masyarakat lokal di poso </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51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Komitmen bagi masyarakat adat itu sangat dipegang teguh</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76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Tetap dijalankan sampai sekarang</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3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2B3CB5" w:rsidRPr="002B3CB5" w:rsidTr="002B3CB5">
        <w:trPr>
          <w:trHeight w:val="25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lastRenderedPageBreak/>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 Media cetak</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331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FIIe1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3</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media poso itu kurang yang meliput hal-hal seperti itu kecuali dia ada benturan atau gesekan, tetapi jika bersifat masukan dan lain-lainnya umumnya tidak dimuat karena issu itu tidak menarik sehingga lebih fous kepada berita yang memiliki nilai jual utamanya konflik..Umumnya yang terliput itu jika masyarakat itu kedewan memperjuangkan aspirasinya, itu baru dimuat sedangkan untuk investigasi khusus itu tidak ada.</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45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FIIe2</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Cakupan berita  mengenai pengakuan pejabat atas hak masyarakat adat</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Untuk keadaan sekarang, masyarakat itu kelihatannya hanya pasrah saja dan media untuk itu terbatas karena media itu sangat jarang meliput terkait hak-hak masyarakat adat. Dalam kebijakan secara umum memang pemerintah/pejabat itukan juga peduli kepada masyarakat adat utamanya dengan adanya Pilkada bahwa masyarakat adat itu adalah gerbong yang harus dapat dipelihara supaya tidak lari atau mendukung pemerintahan, hanya memang masyarakat adat itu tidak begitu memahami apa kebutuhan strategis yang mereka butuhkan untuk dilembagakan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FIIe3</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Posisi berita dalam media cetak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Posisi berita dalam media cetak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Dalam media itu rata-rata posisinya tergantung issu tetapi umumnya tidak memadai atau biasa-biasa saja</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306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FIIe4</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Posisi media dalam pemberitaan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Posisi media dalam pemberitaan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Wartawan saja tidak ada yang paham tentang REDD itu, ketika saya dihubungi saya juga bertanya-tanya apa itu REDD saya pikir READ dipertanian ternyata beda. Sehingga untuk melihat posisinya media dalam pemberitaan tentang masalah hutan untuk masyarakat itu masih jauhlah dibandingan berita-berita lain apalagi tentang konflik sosial atau kegiatan rutin pemerintah daerah yang sering sekali diliput.</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3858" w:type="dxa"/>
            <w:gridSpan w:val="3"/>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4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Pengusaha, Organisasi Masyarakat Adat, LSM</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lastRenderedPageBreak/>
              <w:t>FIIIa1</w:t>
            </w:r>
          </w:p>
        </w:tc>
        <w:tc>
          <w:tcPr>
            <w:tcW w:w="1353" w:type="dxa"/>
            <w:vMerge w:val="restart"/>
            <w:tcBorders>
              <w:top w:val="nil"/>
              <w:left w:val="single" w:sz="4" w:space="0" w:color="auto"/>
              <w:bottom w:val="single" w:sz="4" w:space="0" w:color="000000"/>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Jumlah biaya transaksi pengurusan izin pengelolaan hutan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Jumlah biaya transaksi pengurusan izin pengelolaan hutan</w:t>
            </w: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 karena bersifat tertutup baik dinas kehutanan maupun pengusaha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Tergantung siapa yang mengurus, jika tim sukses penguasa akan mudah saja, tetapi jika pebisnis akan berbelit-belit. Tetapi umumnya relatif mudah untuk pengurusan awal tetapi setelah menghasilkan baru banyak punglinya</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178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 karena biasanya hanya dilakukan yang dekt dengan penguasa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IPKR hanya boleh memotong jenis pohon tertentu, tetap[i nyatanya tidak begitu. Hal lain yang biasa mengelabui petugas adalah karena orang yang mengelola hutan itu punya surat objek pajak (SOP) yang diperlihatkan ketika ada petugas</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58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2B3CB5">
              <w:rPr>
                <w:rFonts w:ascii="Times New Roman" w:eastAsia="Times New Roman" w:hAnsi="Times New Roman" w:cs="Times New Roman"/>
                <w:b/>
                <w:bCs/>
                <w:color w:val="000000"/>
                <w:sz w:val="20"/>
                <w:szCs w:val="20"/>
                <w:lang w:eastAsia="id-ID"/>
              </w:rPr>
              <w:br/>
              <w:t xml:space="preserve">  pemegang ijin</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Peraturan Prosedur Pelaksanaan Pengurusan Izin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743"/>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FIIIb1</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Jumlah tahapan dan bentuk persyaratan setiap tahapan dalam pengurusan izin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Dokumen tidak diberikan. Tetapi menurut mereka Pengurusan izin sudah sesuai ketentuan, sesuai perda dilakukan bertahap</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76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BPN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tidk ada data, mereka mengatakan Setiap pengurusan itu sesuai ketentuan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3858" w:type="dxa"/>
            <w:gridSpan w:val="3"/>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63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2B3CB5">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FIVa1</w:t>
            </w:r>
          </w:p>
        </w:tc>
        <w:tc>
          <w:tcPr>
            <w:tcW w:w="1353" w:type="dxa"/>
            <w:vMerge w:val="restart"/>
            <w:tcBorders>
              <w:top w:val="nil"/>
              <w:left w:val="single" w:sz="4" w:space="0" w:color="auto"/>
              <w:bottom w:val="single" w:sz="4" w:space="0" w:color="000000"/>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1" w:type="dxa"/>
            <w:vMerge w:val="restart"/>
            <w:tcBorders>
              <w:top w:val="nil"/>
              <w:left w:val="single" w:sz="4" w:space="0" w:color="auto"/>
              <w:bottom w:val="single" w:sz="4" w:space="0" w:color="000000"/>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Belum ada dokumen tentang komunitas adat yang mengelola hutan secara mandiri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BPN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Dinas Pertanian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4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nil"/>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lastRenderedPageBreak/>
              <w:t>FIVb1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data karena data yang dimiliki kehutanan tidak jelas keberadaannya ketika diminta. Beberapa komunitas adat sudah mengajukan diri untuk melakukan pengelolaan tetapi karena aturannya yang berubah-ubah dan menyulitkan hingga kini beum ada yang resmi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c. Persentase hutan yang memiliki pengelola (KPH)</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Kehutanan &amp; Dinas Kehutanan (Provinsi &amp; Kabupaten)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969"/>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FIVc1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Persentase hutan yang memiliki pengelola (KPH)</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Peraturan tentang pembentukan KPH baru saja ada (Perda No. 5 tahun 2012) tentang Organisasi dan tata kerja kesatuan pengelolaan hutan produksi model sintuvu maroso, tetapi belum berjalan dan penerapannya belum dilaksanakan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FIVd1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Jumlah pengelolaan hutan berbasis ecological services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Secara resmi tidak ada tetapi secara non formal sebenarnya ada karena adanya kearifan loka di masyarakat</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3858" w:type="dxa"/>
            <w:gridSpan w:val="3"/>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Laporan Inspektorat, BPKP &amp; BPK, Bawasda</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FVa1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Jumlah pelanggaran pengguna-an anggaran di tingkat provinsi dan kab/kota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BPK, BAWASDA, INSPEKTORAT</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Ada juga evaluasi untuk temuan beberapa kasus di Poso</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Kementrian &amp; Dinas Kehutanan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FVb1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Jumlah sanksi administratif serius (pencabutan izin, dan denda, yang telah dijatuhkan)</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Terdapat beberapa pengusaha yang izinnya dicabut antara lain karena tidak melapor lagi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lastRenderedPageBreak/>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Kepolisian (Nasional &amp; Daerah)</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FVc1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Jumlah kasus pidana kehutanan yang diajukan/diproses oleh polisi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Polres</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Semua kasus yang masuk telah diselesaiakan secara hukum</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58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2B3CB5">
              <w:rPr>
                <w:rFonts w:ascii="Times New Roman" w:eastAsia="Times New Roman" w:hAnsi="Times New Roman" w:cs="Times New Roman"/>
                <w:b/>
                <w:bCs/>
                <w:color w:val="000000"/>
                <w:sz w:val="20"/>
                <w:szCs w:val="20"/>
                <w:lang w:eastAsia="id-ID"/>
              </w:rPr>
              <w:br/>
              <w:t xml:space="preserve">  diputuskan oleh MA</w:t>
            </w:r>
            <w:r w:rsidRPr="002B3CB5">
              <w:rPr>
                <w:rFonts w:ascii="Times New Roman" w:eastAsia="Times New Roman" w:hAnsi="Times New Roman" w:cs="Times New Roman"/>
                <w:b/>
                <w:bCs/>
                <w:color w:val="000000"/>
                <w:sz w:val="20"/>
                <w:szCs w:val="20"/>
                <w:lang w:eastAsia="id-ID"/>
              </w:rPr>
              <w:br/>
              <w:t xml:space="preserve">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Kepolisian (Nasional &amp; Daerah)</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5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FVd1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Polres</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Semua kasus yaitu 10 kasus dalam 3 tahun terakhir sudah divonis oleh pengadilan negeri Poso (dokumen tidak diberikan)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e. Index integritas KPK sektor kehutanan</w:t>
            </w:r>
            <w:r w:rsidRPr="002B3CB5">
              <w:rPr>
                <w:rFonts w:ascii="Times New Roman" w:eastAsia="Times New Roman" w:hAnsi="Times New Roman" w:cs="Times New Roman"/>
                <w:b/>
                <w:bCs/>
                <w:color w:val="000000"/>
                <w:sz w:val="20"/>
                <w:szCs w:val="20"/>
                <w:lang w:eastAsia="id-ID"/>
              </w:rPr>
              <w:br/>
              <w:t xml:space="preserve">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Hasil Survai KPK tentang Integritas</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FVe1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Index integritas KPK sektor kehutanan</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KPK &amp; TII</w:t>
            </w:r>
          </w:p>
        </w:tc>
        <w:tc>
          <w:tcPr>
            <w:tcW w:w="1634" w:type="dxa"/>
            <w:tcBorders>
              <w:top w:val="nil"/>
              <w:left w:val="nil"/>
              <w:bottom w:val="single" w:sz="4" w:space="0" w:color="auto"/>
              <w:right w:val="single" w:sz="4" w:space="0" w:color="auto"/>
            </w:tcBorders>
            <w:shd w:val="clear" w:color="000000" w:fill="F2DDDC"/>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F2DDDC"/>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f. Index persepsi korupsi di lokasi assesmen (TII)</w:t>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t xml:space="preserve">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Hasil Survai Persepsi Transparansi Internasional Indonesia (TII)</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FVf1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Index persepsi korupsi di lokasi assesmen (TII)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KPK &amp; TII</w:t>
            </w:r>
          </w:p>
        </w:tc>
        <w:tc>
          <w:tcPr>
            <w:tcW w:w="1634" w:type="dxa"/>
            <w:tcBorders>
              <w:top w:val="nil"/>
              <w:left w:val="nil"/>
              <w:bottom w:val="single" w:sz="4" w:space="0" w:color="auto"/>
              <w:right w:val="single" w:sz="4" w:space="0" w:color="auto"/>
            </w:tcBorders>
            <w:shd w:val="clear" w:color="000000" w:fill="F2DDDC"/>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F2DDDC"/>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615"/>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2B3CB5">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t xml:space="preserve">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Laporan BPK</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lastRenderedPageBreak/>
              <w:t>FVg1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BPK, BAWASDA, INSPEKTORAT</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Belum ada kasus terkait pengelolaan anggaran di bid. Kehutanan di Poso</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h. Jumlah pengaduan masyarakat tentang kinerja pengelolaan hutan</w:t>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r>
            <w:r w:rsidRPr="002B3CB5">
              <w:rPr>
                <w:rFonts w:ascii="Times New Roman" w:eastAsia="Times New Roman" w:hAnsi="Times New Roman" w:cs="Times New Roman"/>
                <w:b/>
                <w:bCs/>
                <w:color w:val="000000"/>
                <w:sz w:val="20"/>
                <w:szCs w:val="20"/>
                <w:lang w:eastAsia="id-ID"/>
              </w:rPr>
              <w:br/>
              <w:t xml:space="preserve"> </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&amp; Dinas Kehutanan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FVh1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r w:rsidRPr="002B3CB5">
              <w:rPr>
                <w:rFonts w:ascii="Times New Roman" w:eastAsia="Times New Roman" w:hAnsi="Times New Roman" w:cs="Times New Roman"/>
                <w:sz w:val="20"/>
                <w:szCs w:val="20"/>
                <w:lang w:eastAsia="id-ID"/>
              </w:rPr>
              <w:t xml:space="preserve">Jumlah pengaduan masyarakat tentang kinerja pengelolaan hutan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Dokumen tidak ada. Hampir dikatakan tidak ada pengaduan masyarakat kecuali sengketa yang melibatkan masyarakat sehingga meminta perlindungan keadilan dari pemerintah</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255"/>
        </w:trPr>
        <w:tc>
          <w:tcPr>
            <w:tcW w:w="3858" w:type="dxa"/>
            <w:gridSpan w:val="3"/>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FVIa1</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dokumen Belum ada yang pernah tahu atau ikut kecuali perorangan karena kedekatan dengan jaringan di palu</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112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Satgas REDD+</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ada dokumen Belum ada yang terlibat seara kelembagaan tetapi secara personal melalui jaringan dari palu sudah ada yang mulai terlibat</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b. Tingkat penerimaan Strategi REDD+ oleh para aktor</w:t>
            </w:r>
            <w:r w:rsidRPr="002B3CB5">
              <w:rPr>
                <w:rFonts w:ascii="Times New Roman" w:eastAsia="Times New Roman" w:hAnsi="Times New Roman" w:cs="Times New Roman"/>
                <w:b/>
                <w:bCs/>
                <w:color w:val="000000"/>
                <w:sz w:val="20"/>
                <w:szCs w:val="20"/>
                <w:lang w:eastAsia="id-ID"/>
              </w:rPr>
              <w:br/>
            </w:r>
          </w:p>
        </w:tc>
      </w:tr>
      <w:tr w:rsidR="002B3CB5" w:rsidRPr="002B3CB5" w:rsidTr="002B3CB5">
        <w:trPr>
          <w:trHeight w:val="66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459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lastRenderedPageBreak/>
              <w:t>FVIb1</w:t>
            </w:r>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Bagaimana penerimaan Strate-gi REDD+ oleh para aktor?</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Hampir seluruh aktor di Poso itu sudah mnjalankan terkait REDD maskipun tidak dilihat seperti yang ada di program saat ini.. Upaya pelaksanaan rehabilitasi hutan dan menjaga hutan primer adalah hal pokok dalam masyrakat.. Pembetukan KPH yang sebentar lagi akan berjalan merupakan wujud lain dari penerimaan ini, adanya insiatip dewan dengan penyusunan Perda Kab. Konservasi. Komitmen dari pelaku bisnis seperti yang mengelola PLTA Sulewana yang akan berkolaborasi dengan pemda untuk menjaga kelestarian alam disekitar danau Poso merupakan wujud dari hal itu.  </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204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Poso ini daerah yang hutannya masih luas dan masih relatif terjaga sehingga strategi REDD itu pastilah diterima. Di masyarakat lokal itu juga slama ini menggunakan mekanisme hukum adat yang cukup baik dlam pengelolaan sumber daya hutan untuk lestari</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127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Meskipun belum paham apa itu REDD tetapi dengan membaca dan melihat dll maka LSM tentunya sudah lebih menerima daripada pemerintah</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 itu peduli tetapi juga memberikan peluang untuk merusak hutan. Mungkin aturanya yang harus dirubah</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306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FVIb2</w:t>
            </w: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Kelembagaan REDD+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Kami sebenarnya sudah mengusulkan agar Poso masuk dalam salah satu prioritas untuk kebijakan REDD itu, kami sudah mengirimkan surat serta berbagai hal namun ternyata tidak masuk.. Keberadaan kehutanan yang dulunya gabung dengan pertanian memang menjadi kendala tersendiri tetai kedepan ini akan diperbaiki untuk mendukung implementasi REDD ini.</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331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Belum ada kelembagaannya, dulu pernah dimintakan untuk buat di dinas kehutanan tidak tahu keberlajutannya sampai sekarang sebab dulu hanya ada pernah yang hubungi saya untuk sosialisasi REDD selain itu saya tidak pernah dengar lagi tentang hal ini. Tetapi untuk persiapan-persiapan kita sudah siapan seperti KPH yang aturan kelembagaannya sudah di sahkan dewa meskipun belum di lantik.</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51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Diposo belum ada kelembagaan atau persiapan yang dilakukan</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76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Hanya tahu ketika diundang ke palu u sosialisasi REDD+</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FVIb3</w:t>
            </w: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Kerangka Pengaman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Disini cukup memadai karena memang kondisiya yang belum banyak rusak dan adanya kearifan lokal itu disamping berbagai kebijakan yang ditempuh pemerintah daerah.</w:t>
            </w:r>
          </w:p>
        </w:tc>
        <w:tc>
          <w:tcPr>
            <w:tcW w:w="1382" w:type="dxa"/>
            <w:tcBorders>
              <w:top w:val="nil"/>
              <w:left w:val="nil"/>
              <w:bottom w:val="single" w:sz="4" w:space="0" w:color="auto"/>
              <w:right w:val="single" w:sz="4" w:space="0" w:color="auto"/>
            </w:tcBorders>
            <w:shd w:val="clear" w:color="000000" w:fill="FFFFFF"/>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Cukup memadai, Adanya penyusunan Perda RT/RW ini terbukti bahwa ada perhatian pemerintah</w:t>
            </w:r>
          </w:p>
        </w:tc>
        <w:tc>
          <w:tcPr>
            <w:tcW w:w="1382" w:type="dxa"/>
            <w:tcBorders>
              <w:top w:val="nil"/>
              <w:left w:val="nil"/>
              <w:bottom w:val="single" w:sz="4" w:space="0" w:color="auto"/>
              <w:right w:val="single" w:sz="4" w:space="0" w:color="auto"/>
            </w:tcBorders>
            <w:shd w:val="clear" w:color="000000" w:fill="FFFFFF"/>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153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Yang pentig masyarakat di dampingi dan diuntungkan dalam kerangka pengaman itu, selama ini belum ada yang dilakukan terkait pengangaran, pelestarian maupun pemberdayaab SDM</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102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Pengaman untuk strategi REDD+ yang saya tahu belum ada meskipun sudah banyak yang dibikin pemerintah untuk itu barangkali</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2</w:t>
            </w:r>
          </w:p>
        </w:tc>
      </w:tr>
      <w:tr w:rsidR="002B3CB5" w:rsidRPr="002B3CB5" w:rsidTr="002B3CB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FVIb4</w:t>
            </w: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Apakah (mekanisme) MRV sudah memadai?</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Kurangnya benccana alam di Poso merupakanbagian dari evaluasi bahwa mekanisme MRV itu sangat memadai. Penutupan lahan yang terlihat dengan masih tetap luasnya dan terjaganya hutan primer.</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r>
      <w:tr w:rsidR="002B3CB5" w:rsidRPr="002B3CB5" w:rsidTr="002B3CB5">
        <w:trPr>
          <w:trHeight w:val="76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Ketentuannnya itu ada diPerda, mungkin belum secara keseluruhan tetapi secara umum sudah cukup.</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510"/>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Tidak paham, karena mungkin yag tahu itu orang kehutanan saja</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r>
      <w:tr w:rsidR="002B3CB5" w:rsidRPr="002B3CB5" w:rsidTr="002B3CB5">
        <w:trPr>
          <w:trHeight w:val="3315"/>
        </w:trPr>
        <w:tc>
          <w:tcPr>
            <w:tcW w:w="714"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 itu harus bisa memberdayakan masyarakat untuk bisa peduli kepada lingkungan atau kehutanan. Peningkatan kapasitas petani untuk gerakan sejuta pohon pisang/pisang pagata yang merupakan program desa tompe madoro contohnya sebagai wujud kepedlian masyarakat. Kegunaan pisang itu banyak diantaranya dapat dipakai dalam pertanian yakni mencangkok pohon yang akan mati. Karena dikuliti babi hutan dll.</w:t>
            </w:r>
          </w:p>
        </w:tc>
        <w:tc>
          <w:tcPr>
            <w:tcW w:w="1382" w:type="dxa"/>
            <w:tcBorders>
              <w:top w:val="nil"/>
              <w:left w:val="nil"/>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r>
      <w:tr w:rsidR="002B3CB5" w:rsidRPr="002B3CB5" w:rsidTr="002B3CB5">
        <w:trPr>
          <w:trHeight w:val="255"/>
        </w:trPr>
        <w:tc>
          <w:tcPr>
            <w:tcW w:w="714"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c. Tingkat deforestasi di lokasi assesmen</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&amp; Dinas Kehutanan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163"/>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FVIc1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Tingkat deforestasi di lokasi assesmen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FFFFFF"/>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Dokumen tidak didapatkan.Karena masih banyaknya hutan primer saat ini menjadi indikator rendahnya deforestas</w:t>
            </w:r>
          </w:p>
        </w:tc>
        <w:tc>
          <w:tcPr>
            <w:tcW w:w="1275" w:type="dxa"/>
            <w:tcBorders>
              <w:top w:val="nil"/>
              <w:left w:val="nil"/>
              <w:bottom w:val="single" w:sz="4" w:space="0" w:color="auto"/>
              <w:right w:val="single" w:sz="4" w:space="0" w:color="auto"/>
            </w:tcBorders>
            <w:shd w:val="clear" w:color="000000" w:fill="FFFFFF"/>
            <w:noWrap/>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d. Tingkat degradasi hutan di lokasi assesmen</w:t>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&amp; Dinas Kehutanan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FVId1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Tingkat degradasi hutan di lokasi assesmen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di poso luas hutan primer masih sangat terjaga</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r w:rsidR="002B3CB5" w:rsidRPr="002B3CB5" w:rsidTr="002B3CB5">
        <w:trPr>
          <w:trHeight w:val="255"/>
        </w:trPr>
        <w:tc>
          <w:tcPr>
            <w:tcW w:w="714"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p>
        </w:tc>
      </w:tr>
      <w:tr w:rsidR="002B3CB5" w:rsidRPr="002B3CB5" w:rsidTr="002B3CB5">
        <w:trPr>
          <w:trHeight w:val="6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2B3CB5" w:rsidRPr="002B3CB5" w:rsidRDefault="002B3CB5" w:rsidP="002B3CB5">
            <w:pPr>
              <w:spacing w:after="24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2B3CB5">
              <w:rPr>
                <w:rFonts w:ascii="Times New Roman" w:eastAsia="Times New Roman" w:hAnsi="Times New Roman" w:cs="Times New Roman"/>
                <w:b/>
                <w:bCs/>
                <w:color w:val="000000"/>
                <w:sz w:val="20"/>
                <w:szCs w:val="20"/>
                <w:lang w:eastAsia="id-ID"/>
              </w:rPr>
              <w:br/>
              <w:t xml:space="preserve">  REDD+ (demonstration ativities)</w:t>
            </w:r>
            <w:r w:rsidRPr="002B3CB5">
              <w:rPr>
                <w:rFonts w:ascii="Times New Roman" w:eastAsia="Times New Roman" w:hAnsi="Times New Roman" w:cs="Times New Roman"/>
                <w:b/>
                <w:bCs/>
                <w:color w:val="000000"/>
                <w:sz w:val="20"/>
                <w:szCs w:val="20"/>
                <w:lang w:eastAsia="id-ID"/>
              </w:rPr>
              <w:br/>
            </w:r>
          </w:p>
        </w:tc>
      </w:tr>
      <w:tr w:rsidR="002B3CB5" w:rsidRPr="002B3CB5" w:rsidTr="002B3CB5">
        <w:trPr>
          <w:trHeight w:val="300"/>
        </w:trPr>
        <w:tc>
          <w:tcPr>
            <w:tcW w:w="2067" w:type="dxa"/>
            <w:gridSpan w:val="2"/>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 Kementerian &amp; Dinas Kehutanan</w:t>
            </w:r>
          </w:p>
        </w:tc>
      </w:tr>
      <w:tr w:rsidR="002B3CB5" w:rsidRPr="002B3CB5" w:rsidTr="002B3CB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b/>
                <w:bCs/>
                <w:color w:val="000000"/>
                <w:sz w:val="20"/>
                <w:szCs w:val="20"/>
                <w:lang w:eastAsia="id-ID"/>
              </w:rPr>
            </w:pPr>
            <w:r w:rsidRPr="002B3CB5">
              <w:rPr>
                <w:rFonts w:ascii="Times New Roman" w:eastAsia="Times New Roman" w:hAnsi="Times New Roman" w:cs="Times New Roman"/>
                <w:b/>
                <w:bCs/>
                <w:color w:val="000000"/>
                <w:sz w:val="20"/>
                <w:szCs w:val="20"/>
                <w:lang w:eastAsia="id-ID"/>
              </w:rPr>
              <w:t>Kategori Data Wawancara</w:t>
            </w:r>
          </w:p>
        </w:tc>
      </w:tr>
      <w:tr w:rsidR="002B3CB5" w:rsidRPr="002B3CB5" w:rsidTr="002B3CB5">
        <w:trPr>
          <w:trHeight w:val="153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FVIe1</w:t>
            </w:r>
          </w:p>
        </w:tc>
        <w:tc>
          <w:tcPr>
            <w:tcW w:w="1353"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1"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belum ada mekanismenya pasca terbentuknya organisasi dan tata kerja kesatuan pengelolaan hutan produksi sintuwu maroso lewat Perda No 5 tahun 2012 maka mungkin itu akan terjadi</w:t>
            </w:r>
          </w:p>
        </w:tc>
        <w:tc>
          <w:tcPr>
            <w:tcW w:w="1275" w:type="dxa"/>
            <w:tcBorders>
              <w:top w:val="nil"/>
              <w:left w:val="nil"/>
              <w:bottom w:val="single" w:sz="4" w:space="0" w:color="auto"/>
              <w:right w:val="single" w:sz="4" w:space="0" w:color="auto"/>
            </w:tcBorders>
            <w:shd w:val="clear" w:color="auto" w:fill="auto"/>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2B3CB5" w:rsidRPr="002B3CB5" w:rsidRDefault="002B3CB5" w:rsidP="002B3CB5">
            <w:pPr>
              <w:spacing w:after="0" w:line="240" w:lineRule="auto"/>
              <w:jc w:val="center"/>
              <w:rPr>
                <w:rFonts w:ascii="Times New Roman" w:eastAsia="Times New Roman" w:hAnsi="Times New Roman" w:cs="Times New Roman"/>
                <w:color w:val="000000"/>
                <w:sz w:val="20"/>
                <w:szCs w:val="20"/>
                <w:lang w:eastAsia="id-ID"/>
              </w:rPr>
            </w:pPr>
            <w:r w:rsidRPr="002B3CB5">
              <w:rPr>
                <w:rFonts w:ascii="Times New Roman" w:eastAsia="Times New Roman" w:hAnsi="Times New Roman" w:cs="Times New Roman"/>
                <w:color w:val="000000"/>
                <w:sz w:val="20"/>
                <w:szCs w:val="20"/>
                <w:lang w:eastAsia="id-ID"/>
              </w:rPr>
              <w:t> </w:t>
            </w:r>
          </w:p>
        </w:tc>
      </w:tr>
    </w:tbl>
    <w:p w:rsidR="002B3CB5" w:rsidRDefault="002B3CB5"/>
    <w:sectPr w:rsidR="002B3CB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2B3CB5"/>
    <w:rsid w:val="004165D1"/>
    <w:rsid w:val="004570C7"/>
    <w:rsid w:val="005D2D3D"/>
    <w:rsid w:val="006E5970"/>
    <w:rsid w:val="007624F1"/>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2B3CB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2B3CB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9">
    <w:name w:val="font9"/>
    <w:basedOn w:val="Normal"/>
    <w:rsid w:val="002B3CB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font10">
    <w:name w:val="font10"/>
    <w:basedOn w:val="Normal"/>
    <w:rsid w:val="002B3CB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2B3CB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359236751">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190116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5026</Words>
  <Characters>28651</Characters>
  <Application>Microsoft Office Word</Application>
  <DocSecurity>0</DocSecurity>
  <Lines>238</Lines>
  <Paragraphs>67</Paragraphs>
  <ScaleCrop>false</ScaleCrop>
  <Company/>
  <LinksUpToDate>false</LinksUpToDate>
  <CharactersWithSpaces>33610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2012-10-16T07:43:00Z</dcterms:modified>
</cp:coreProperties>
</file>